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459BA" w:rsidRPr="004925AB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459BA" w:rsidRPr="004925AB" w:rsidRDefault="00D459BA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 xml:space="preserve">Informacijski sustavi u turizmu i ugostiteljstvu </w:t>
            </w:r>
          </w:p>
        </w:tc>
      </w:tr>
      <w:tr w:rsidR="00D459BA" w:rsidRPr="004925AB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bookmarkStart w:id="0" w:name="_GoBack" w:colFirst="3" w:colLast="3"/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0C4DD7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0C4DD7">
              <w:rPr>
                <w:rFonts w:ascii="Arial" w:eastAsiaTheme="minorHAnsi" w:hAnsi="Arial" w:cs="Arial"/>
                <w:b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0C4DD7" w:rsidRDefault="00466BC2" w:rsidP="00D17DA1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0C4DD7">
              <w:rPr>
                <w:rFonts w:ascii="Arial" w:eastAsiaTheme="minorHAnsi" w:hAnsi="Arial" w:cs="Arial"/>
                <w:b/>
                <w:sz w:val="20"/>
                <w:szCs w:val="20"/>
              </w:rPr>
              <w:t>Izv.prof</w:t>
            </w:r>
            <w:r w:rsidR="00D459BA" w:rsidRPr="000C4DD7">
              <w:rPr>
                <w:rFonts w:ascii="Arial" w:eastAsiaTheme="minorHAnsi" w:hAnsi="Arial" w:cs="Arial"/>
                <w:b/>
                <w:sz w:val="20"/>
                <w:szCs w:val="20"/>
              </w:rPr>
              <w:t>.dr.sc.</w:t>
            </w:r>
            <w:r w:rsidR="000C4DD7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D459BA" w:rsidRPr="000C4DD7">
              <w:rPr>
                <w:rFonts w:ascii="Arial" w:eastAsiaTheme="minorHAnsi" w:hAnsi="Arial" w:cs="Arial"/>
                <w:b/>
                <w:sz w:val="20"/>
                <w:szCs w:val="20"/>
              </w:rPr>
              <w:t>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D459BA" w:rsidRPr="004925AB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459BA" w:rsidRPr="004925AB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4925AB">
              <w:rPr>
                <w:rFonts w:ascii="Arial" w:eastAsiaTheme="minorHAnsi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bookmarkEnd w:id="0"/>
      <w:tr w:rsidR="00D459BA" w:rsidRPr="004925AB" w:rsidTr="00D17DA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1475E5" w:rsidRDefault="001475E5" w:rsidP="001475E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Razvijanje vještina primjene informacijsko komunikacijskih tehnologija (</w:t>
            </w:r>
            <w:r w:rsidRPr="001475E5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IKT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) </w:t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u turizmu i ugostiteljstvu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Razumijevanje</w:t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funkcioniranja informacijskih sus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tava u turizmu i ugostiteljstvu.</w:t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260F3" w:rsidRDefault="002260F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B03DD" w:rsidRPr="006B03DD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6B03D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Ishod učenja predmeta:</w:t>
            </w:r>
          </w:p>
          <w:p w:rsidR="00D459BA" w:rsidRDefault="00D459BA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Analizirati suvremena tehnološka rješenj</w:t>
            </w:r>
            <w:r w:rsidR="00A741E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 u kontekstu turističke prakse.</w:t>
            </w:r>
          </w:p>
          <w:p w:rsidR="00A741EC" w:rsidRPr="006B03DD" w:rsidRDefault="00A741EC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1F793D" w:rsidRPr="001F793D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03D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Pojedinačni ishodi</w:t>
            </w:r>
            <w:r w:rsidR="006B03D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predmeta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D459BA" w:rsidRPr="004925AB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:rsidR="00D459BA" w:rsidRPr="003802C5" w:rsidRDefault="003802C5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3802C5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ocijeniti</w:t>
            </w:r>
            <w:r w:rsidR="00D459BA" w:rsidRPr="003802C5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primjenjivost </w:t>
            </w:r>
            <w:r w:rsidRPr="003802C5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različitih tehnoloških rješenja u poslovni sustav dionika  iz turizma i ugostiteljstva</w:t>
            </w:r>
          </w:p>
          <w:p w:rsidR="00D459BA" w:rsidRPr="004925AB" w:rsidRDefault="00132466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usvojiti</w:t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osnovne vještine korištenja informatičkih tehnologija u turizmu u ugostiteljstvu</w:t>
            </w:r>
          </w:p>
          <w:p w:rsidR="00D459BA" w:rsidRPr="004925AB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:rsidR="00D459BA" w:rsidRPr="004925AB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procijeniti relevantnost pojedinih tehnoloških rješenja za turizam i ugostiteljstvu</w:t>
            </w:r>
            <w:r w:rsidR="006B03D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3"/>
              <w:gridCol w:w="512"/>
              <w:gridCol w:w="3262"/>
              <w:gridCol w:w="428"/>
            </w:tblGrid>
            <w:tr w:rsidR="00D459BA" w:rsidRPr="004925AB" w:rsidTr="00834CDA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459BA" w:rsidRPr="004925AB" w:rsidTr="00834CDA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76353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763530" w:rsidP="0076353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ati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Pojam, definicija i razvoj IK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 i informacijskih sustava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</w:t>
                  </w:r>
                  <w:r w:rsidR="006B03D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predmeta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e-turizam kao interakcija IK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 i turizma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</w:p>
                <w:p w:rsidR="00D459BA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</w:t>
                  </w:r>
                </w:p>
                <w:p w:rsidR="0024035C" w:rsidRPr="004925AB" w:rsidRDefault="0024035C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 na potražnju u turizmu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1B:</w:t>
                  </w:r>
                </w:p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 na ponudu u turizmu (eSupply)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2A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</w:p>
                <w:p w:rsidR="00D459BA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</w:t>
                  </w:r>
                </w:p>
                <w:p w:rsidR="0024035C" w:rsidRPr="004925AB" w:rsidRDefault="0024035C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</w:t>
                  </w:r>
                  <w:r w:rsidR="00D459BA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kao potpora </w:t>
                  </w:r>
                  <w:r w:rsidR="00D459BA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strateškom </w:t>
                  </w:r>
                  <w:r w:rsidR="008F790B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upravljanju u turizmu 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(opći pregled)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2B:</w:t>
                  </w:r>
                </w:p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lastRenderedPageBreak/>
                    <w:t>I</w:t>
                  </w:r>
                  <w:r w:rsidR="001475E5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KT</w:t>
                  </w: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funkciji </w:t>
                  </w:r>
                  <w:r w:rsidR="008F79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upravljanja</w:t>
                  </w: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475E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sustavom avio tvrtki</w:t>
                  </w: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(eAirlines)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834CDA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:rsidR="0024035C" w:rsidRPr="004925AB" w:rsidRDefault="0024035C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IKT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funkciji </w:t>
                  </w:r>
                  <w:r w:rsidR="008F79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upravljanja u sustavu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="008F79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turoperatora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F79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24035C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IKT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funkciji </w:t>
                  </w:r>
                  <w:r w:rsidR="008F79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upravljanja 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putničkim agencijama 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3B:</w:t>
                  </w:r>
                </w:p>
                <w:p w:rsidR="0024035C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:rsidR="00834CDA" w:rsidRPr="004925AB" w:rsidRDefault="00834CD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1475E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IKT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funkciji </w:t>
                  </w: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upravljanja i razvoja </w:t>
                  </w:r>
                  <w:r w:rsidR="00D459BA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turističke destinacije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4A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5A5FA5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</w:t>
                  </w:r>
                  <w:r w:rsidR="005A5FA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GDS Amadeus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II</w:t>
                  </w:r>
                </w:p>
                <w:p w:rsidR="00D459BA" w:rsidRPr="004925AB" w:rsidRDefault="008D3122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B45C6A" w:rsidRPr="003C1704" w:rsidRDefault="001475E5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IKT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funkciji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upravljanja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hotelijerstvu</w:t>
                  </w:r>
                </w:p>
                <w:p w:rsidR="00B45C6A" w:rsidRPr="000F546E" w:rsidRDefault="00B45C6A" w:rsidP="00B45C6A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0F546E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4B</w:t>
                  </w:r>
                </w:p>
                <w:p w:rsidR="0024035C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II</w:t>
                  </w:r>
                </w:p>
                <w:p w:rsidR="00834CDA" w:rsidRPr="004925AB" w:rsidRDefault="00834CD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Informatizacija hotelskih funkcija prednjeg ureda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5A5FA5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</w:t>
                  </w:r>
                  <w:r w:rsidR="005A5FA5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</w:t>
                  </w:r>
                  <w:r w:rsidR="005A5FA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hotelskoj aplikaciji „Milenij“</w:t>
                  </w:r>
                </w:p>
                <w:p w:rsidR="00D459BA" w:rsidRPr="004925AB" w:rsidRDefault="008D3122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hotelskih funkcija pozadinskog ureda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5B:</w:t>
                  </w:r>
                </w:p>
                <w:p w:rsidR="0024035C" w:rsidRPr="004925AB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D312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 hotelskoj aplikaciji </w:t>
                  </w:r>
                  <w:r w:rsidR="005A5FA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„Milenij“  </w:t>
                  </w:r>
                  <w:r w:rsidR="00834CD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Važnost povezivanja funkcija oba ureda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8D3122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6A:</w:t>
                  </w:r>
                </w:p>
                <w:p w:rsidR="005A5FA5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hot</w:t>
                  </w:r>
                  <w:r w:rsidR="005A5FA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elskoj aplikaciji „Protel“ </w:t>
                  </w:r>
                </w:p>
                <w:p w:rsidR="00D459BA" w:rsidRPr="004925AB" w:rsidRDefault="005A5FA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</w:t>
                  </w:r>
                  <w:r w:rsidR="001475E5"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</w:t>
                  </w:r>
                  <w:r w:rsidRPr="001475E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</w:t>
                  </w: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preustroj poslovnih procesa u turizmu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3C1704" w:rsidRDefault="003C1704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6B:</w:t>
                  </w:r>
                </w:p>
                <w:p w:rsidR="0024035C" w:rsidRPr="004925AB" w:rsidRDefault="003C1704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</w:t>
                  </w:r>
                  <w:r w:rsidR="00D459B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A5FA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 hotelskoj aplikaciji „Protel“ </w:t>
                  </w:r>
                  <w:r w:rsidR="00834CDA"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D459BA" w:rsidRPr="004925AB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459BA" w:rsidRPr="004925AB" w:rsidRDefault="00903332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0333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Smart destinacije,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preduvjeti</w:t>
                  </w:r>
                  <w:r w:rsidRPr="0090333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i obilježja 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459BA" w:rsidRPr="004925AB" w:rsidRDefault="005A5FA5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459BA" w:rsidRPr="004925AB" w:rsidRDefault="00D459BA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925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9BA" w:rsidRPr="004925AB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925A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D459BA" w:rsidRPr="004925AB" w:rsidRDefault="00DB166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B166F">
              <w:rPr>
                <w:rFonts w:ascii="Arial" w:eastAsia="MS Gothic" w:hAnsi="MS Gothic" w:cs="Arial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30C2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30C2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030C2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30C22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459BA" w:rsidRPr="004925AB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B166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obvezan pohađati i </w:t>
            </w:r>
            <w:r w:rsidR="00DB16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pratiti nastavu, te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izvršavati </w:t>
            </w:r>
            <w:r w:rsidR="00DB166F">
              <w:rPr>
                <w:rFonts w:ascii="Arial" w:hAnsi="Arial" w:cs="Arial"/>
                <w:color w:val="000000" w:themeColor="text1"/>
                <w:sz w:val="20"/>
                <w:szCs w:val="20"/>
              </w:rPr>
              <w:t>zadane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zadatke. Uvjet za potpis je pohađanj</w:t>
            </w:r>
            <w:r w:rsidR="003C1704">
              <w:rPr>
                <w:rFonts w:ascii="Arial" w:hAnsi="Arial" w:cs="Arial"/>
                <w:color w:val="000000" w:themeColor="text1"/>
                <w:sz w:val="20"/>
                <w:szCs w:val="20"/>
              </w:rPr>
              <w:t>e minimalno 50% predavanja i 90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%vježbi. Uvjet za pristupanje ispitu je potpis i prezentirani seminar.</w:t>
            </w:r>
          </w:p>
        </w:tc>
      </w:tr>
      <w:tr w:rsidR="00D459BA" w:rsidRPr="004925AB" w:rsidTr="00D17DA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925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D459BA" w:rsidRPr="004925AB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459BA" w:rsidRPr="004925AB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4925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459BA" w:rsidRPr="004925AB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925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11A82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:rsidR="00811BA0" w:rsidRDefault="00411A82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je 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>moguće je pr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>ikupiti ukupno 100 bodova putem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sljedećih aktivnosti: 2 kolokvija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 xml:space="preserve"> (2x45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>),</w:t>
            </w:r>
            <w:r w:rsidR="005A5FA5">
              <w:rPr>
                <w:rFonts w:ascii="Arial" w:hAnsi="Arial" w:cs="Arial"/>
                <w:color w:val="FF0000"/>
                <w:sz w:val="20"/>
                <w:szCs w:val="20"/>
              </w:rPr>
              <w:t xml:space="preserve"> 6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 xml:space="preserve"> dodatnih 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zadataka </w:t>
            </w:r>
            <w:r w:rsidR="005A5FA5">
              <w:rPr>
                <w:rFonts w:ascii="Arial" w:hAnsi="Arial" w:cs="Arial"/>
                <w:color w:val="FF0000"/>
                <w:sz w:val="20"/>
                <w:szCs w:val="20"/>
              </w:rPr>
              <w:t>(6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x1) i seminar/studija slučaja </w:t>
            </w:r>
            <w:r w:rsidR="005A5FA5">
              <w:rPr>
                <w:rFonts w:ascii="Arial" w:hAnsi="Arial" w:cs="Arial"/>
                <w:color w:val="FF0000"/>
                <w:sz w:val="20"/>
                <w:szCs w:val="20"/>
              </w:rPr>
              <w:t>(max 4</w:t>
            </w:r>
            <w:r w:rsidR="00811BA0">
              <w:rPr>
                <w:rFonts w:ascii="Arial" w:hAnsi="Arial" w:cs="Arial"/>
                <w:color w:val="FF0000"/>
                <w:sz w:val="20"/>
                <w:szCs w:val="20"/>
              </w:rPr>
              <w:t xml:space="preserve">). Kolokvij 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se smatra položen </w:t>
            </w:r>
            <w:r w:rsidR="00811BA0">
              <w:rPr>
                <w:rFonts w:ascii="Arial" w:hAnsi="Arial" w:cs="Arial"/>
                <w:color w:val="FF0000"/>
                <w:sz w:val="20"/>
                <w:szCs w:val="20"/>
              </w:rPr>
              <w:t>ako je student ostvario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>minimalno 60</w:t>
            </w:r>
            <w:r w:rsidR="00811BA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 w:rsidR="00811BA0">
              <w:rPr>
                <w:rFonts w:ascii="Arial" w:hAnsi="Arial" w:cs="Arial"/>
                <w:color w:val="FF0000"/>
                <w:sz w:val="20"/>
                <w:szCs w:val="20"/>
              </w:rPr>
              <w:t>od maksimalnog broja  bodova. Isti postotak vrijedi i kod polaganja ispita.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Studentima sa ostvarenim pravom direktnog upisa ocjena se formira sukadno ljestvici ocjenjivanja: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60-69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dovoljan (2) 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70-79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dobar (3) 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80-89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vrlo dobar (4) 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90-100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izvrstan (5) </w:t>
            </w:r>
          </w:p>
          <w:p w:rsidR="00811BA0" w:rsidRPr="0091631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Nakon objave rezultata svake provjere znanja, studenti imaju mogućnost uvida u terminu konzultacija nastavnika.</w:t>
            </w:r>
          </w:p>
          <w:p w:rsidR="00811BA0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FF0000"/>
              </w:rPr>
            </w:pPr>
            <w:r w:rsidRPr="00843B53">
              <w:rPr>
                <w:rFonts w:ascii="Arial" w:hAnsi="Arial" w:cs="Arial"/>
                <w:color w:val="FF0000"/>
                <w:sz w:val="20"/>
                <w:szCs w:val="20"/>
              </w:rPr>
              <w:t>Studenti koji nisu zadovoljni ukupnom ocjenom imaju pravo izlaska na usmeni ispit.</w:t>
            </w:r>
            <w:r w:rsidRPr="00843B53">
              <w:rPr>
                <w:color w:val="FF0000"/>
              </w:rPr>
              <w:t xml:space="preserve"> </w:t>
            </w:r>
          </w:p>
          <w:p w:rsidR="00811BA0" w:rsidRPr="00383A5D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Studenti koji nisu ostvarili pravo direktnog upisa ocjene trebaju pristupiti finalnom pismenom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ispitu na kojem mogu ostvariti 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m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>ax. 70%  od ukupnog broja bodova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D459BA" w:rsidRPr="004925AB" w:rsidRDefault="00811BA0" w:rsidP="00811BA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Ukupna ocjena se računa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zbrajanjem bodova ostvarenih na ispitu sa bodovima ostvareni</w:t>
            </w:r>
            <w:r w:rsidR="003C1704">
              <w:rPr>
                <w:rFonts w:ascii="Arial" w:hAnsi="Arial" w:cs="Arial"/>
                <w:color w:val="FF0000"/>
                <w:sz w:val="20"/>
                <w:szCs w:val="20"/>
              </w:rPr>
              <w:t>m temeljem odrađenih dodatnih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zadataka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studenta tijekom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cijelog </w:t>
            </w:r>
            <w:r w:rsidRPr="00383A5D">
              <w:rPr>
                <w:rFonts w:ascii="Arial" w:hAnsi="Arial" w:cs="Arial"/>
                <w:color w:val="FF0000"/>
                <w:sz w:val="20"/>
                <w:szCs w:val="20"/>
              </w:rPr>
              <w:t>semestra</w:t>
            </w:r>
            <w:r w:rsidRPr="00843B53">
              <w:rPr>
                <w:color w:val="FF0000"/>
              </w:rPr>
              <w:t xml:space="preserve">. Način polaganja finalnog ispita: </w:t>
            </w:r>
            <w:r w:rsidRPr="00843B53">
              <w:rPr>
                <w:b/>
                <w:bCs/>
                <w:color w:val="FF0000"/>
              </w:rPr>
              <w:t>pismeni i po potrebi usmeni</w:t>
            </w:r>
            <w:r>
              <w:rPr>
                <w:b/>
                <w:bCs/>
              </w:rPr>
              <w:t>.</w:t>
            </w:r>
          </w:p>
        </w:tc>
      </w:tr>
      <w:tr w:rsidR="00D459BA" w:rsidRPr="004925AB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27371" w:rsidRPr="004925AB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27371" w:rsidRPr="004925AB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3A5B36" w:rsidRDefault="00527371" w:rsidP="003A5B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3A5B36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527371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27371" w:rsidRPr="004925AB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27371" w:rsidRPr="004925AB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3A5B36" w:rsidRDefault="00527371" w:rsidP="003A5B3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5B36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27371" w:rsidRPr="004925AB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27371" w:rsidRPr="004925AB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3A5B36" w:rsidRDefault="00527371" w:rsidP="003A5B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5B36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 (2011): 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27371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3A5B36" w:rsidRDefault="00811BA0" w:rsidP="003A5B3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A5B36">
              <w:rPr>
                <w:rFonts w:ascii="Arial" w:hAnsi="Arial" w:cs="Arial"/>
                <w:color w:val="FF0000"/>
                <w:sz w:val="20"/>
                <w:szCs w:val="20"/>
              </w:rPr>
              <w:t xml:space="preserve">nastavni materijali na Moodle </w:t>
            </w:r>
            <w:r w:rsidR="006B03DD" w:rsidRPr="003A5B36">
              <w:rPr>
                <w:rFonts w:ascii="Arial" w:hAnsi="Arial" w:cs="Arial"/>
                <w:color w:val="FF0000"/>
                <w:sz w:val="20"/>
                <w:szCs w:val="20"/>
              </w:rPr>
              <w:t>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D459BA" w:rsidRPr="004925AB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C7135" w:rsidRPr="00100F63" w:rsidRDefault="00EC7135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:rsidR="00EC7135" w:rsidRPr="00100F63" w:rsidRDefault="00EC7135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Nyheim P.D. et al. (2005): Technolog strategies for the hospitalit industry, Pearson, Prentice Hall</w:t>
            </w:r>
          </w:p>
          <w:p w:rsidR="00EC7135" w:rsidRPr="00477A3E" w:rsidRDefault="00EC7135" w:rsidP="00EC7135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100F63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:rsidR="00EC7135" w:rsidRPr="00A000EF" w:rsidRDefault="00EC7135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>Garbin Praničević, D.; Alfirević, N.; Indihar Štemberger, M.(2011):</w:t>
            </w: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br/>
              <w:t>„</w:t>
            </w:r>
            <w:hyperlink r:id="rId7" w:tgtFrame="_blank" w:history="1">
              <w:r w:rsidRPr="00A000EF">
                <w:rPr>
                  <w:rFonts w:ascii="Arial" w:hAnsi="Arial" w:cs="Arial"/>
                  <w:color w:val="FF0000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Economic and business review.13 (4), 227-249. </w:t>
            </w:r>
          </w:p>
          <w:p w:rsidR="00EC7135" w:rsidRPr="00A000EF" w:rsidRDefault="00EC7135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>Pranić, Lj.; Garbin Praničević, D.; Arnerić, J.(2014): „</w:t>
            </w:r>
            <w:hyperlink r:id="rId8" w:tgtFrame="_blank" w:history="1">
              <w:r w:rsidRPr="00A000EF">
                <w:rPr>
                  <w:rFonts w:ascii="Arial" w:hAnsi="Arial" w:cs="Arial"/>
                  <w:color w:val="FF0000"/>
                  <w:sz w:val="20"/>
                  <w:szCs w:val="20"/>
                </w:rPr>
                <w:t>Hotel Website Performance: Evidence From A Transition Country</w:t>
              </w:r>
            </w:hyperlink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Tourism and Hospitality Management. 20 (1), 45-60. </w:t>
            </w:r>
          </w:p>
          <w:p w:rsidR="00A000EF" w:rsidRDefault="00EC7135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>Šerić, M., Gil Saura, I.; Garbin Praničević, D.(2016):</w:t>
            </w: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hyperlink r:id="rId9" w:tgtFrame="_blank" w:history="1">
              <w:r w:rsidRPr="00A000EF">
                <w:rPr>
                  <w:rFonts w:ascii="Arial" w:hAnsi="Arial" w:cs="Arial"/>
                  <w:color w:val="FF0000"/>
                  <w:sz w:val="20"/>
                  <w:szCs w:val="20"/>
                </w:rPr>
                <w:t>ICT for external use in Croatian four-and five-star hotels</w:t>
              </w:r>
            </w:hyperlink>
            <w:r w:rsidR="00360CC4" w:rsidRPr="00A000EF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A000EF">
              <w:rPr>
                <w:rFonts w:ascii="Arial" w:hAnsi="Arial" w:cs="Arial"/>
                <w:color w:val="FF0000"/>
                <w:sz w:val="20"/>
                <w:szCs w:val="20"/>
              </w:rPr>
              <w:t>Tourism and hospitality management. 22 (1),  69-85.</w:t>
            </w:r>
          </w:p>
          <w:p w:rsidR="008264A0" w:rsidRPr="008264A0" w:rsidRDefault="008264A0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64A0">
              <w:rPr>
                <w:rFonts w:ascii="Arial" w:hAnsi="Arial" w:cs="Arial"/>
                <w:color w:val="FF0000"/>
                <w:sz w:val="20"/>
                <w:szCs w:val="20"/>
              </w:rPr>
              <w:t xml:space="preserve">Garbin Praničević, D.; Zovko, A.(2016): </w:t>
            </w:r>
            <w:hyperlink r:id="rId10" w:history="1">
              <w:r w:rsidRPr="008264A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8264A0">
              <w:rPr>
                <w:rFonts w:ascii="Arial" w:hAnsi="Arial" w:cs="Arial"/>
                <w:color w:val="FF0000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DE209B" w:rsidRPr="008264A0" w:rsidRDefault="00DE209B" w:rsidP="008264A0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E209B" w:rsidRPr="00785A36" w:rsidRDefault="00030C22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1" w:history="1">
              <w:r w:rsidR="00DE209B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https://hospitalitytech.com/</w:t>
              </w:r>
            </w:hyperlink>
          </w:p>
          <w:p w:rsidR="00DE209B" w:rsidRPr="00785A36" w:rsidRDefault="00030C22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2" w:history="1">
              <w:r w:rsidR="00DE209B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https://www.phocuswright.com/</w:t>
              </w:r>
            </w:hyperlink>
          </w:p>
          <w:p w:rsidR="00DE209B" w:rsidRPr="00785A36" w:rsidRDefault="00030C22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3" w:history="1">
              <w:r w:rsidR="00DE209B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http://www.amadeus.com/</w:t>
              </w:r>
            </w:hyperlink>
          </w:p>
          <w:p w:rsidR="00DE209B" w:rsidRPr="00785A36" w:rsidRDefault="00030C22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4" w:history="1">
              <w:r w:rsidR="00DE209B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https://www.tnooz.com/</w:t>
              </w:r>
            </w:hyperlink>
          </w:p>
          <w:p w:rsidR="00DE209B" w:rsidRPr="00785A36" w:rsidRDefault="00030C22" w:rsidP="00DE20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5" w:history="1">
              <w:r w:rsidR="00DE209B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http://www.traveltechnologyeurope.com/</w:t>
              </w:r>
            </w:hyperlink>
          </w:p>
          <w:p w:rsidR="00D459BA" w:rsidRPr="00A000EF" w:rsidRDefault="00D459BA" w:rsidP="00DE209B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osiguravaju 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D459BA" w:rsidRPr="004925AB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D459BA" w:rsidRPr="004925AB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:rsidR="00D459BA" w:rsidRPr="004925AB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459BA" w:rsidRPr="004925AB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459BA" w:rsidRPr="004925AB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59BA" w:rsidRPr="004925AB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59BA" w:rsidRPr="004925AB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4925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925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11E" w:rsidRDefault="0044311E" w:rsidP="00721DB8">
      <w:pPr>
        <w:spacing w:after="0" w:line="240" w:lineRule="auto"/>
      </w:pPr>
      <w:r>
        <w:separator/>
      </w:r>
    </w:p>
  </w:endnote>
  <w:endnote w:type="continuationSeparator" w:id="0">
    <w:p w:rsidR="0044311E" w:rsidRDefault="0044311E" w:rsidP="0072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Default="00721D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Pr="00613736" w:rsidRDefault="00721DB8" w:rsidP="00721DB8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721DB8" w:rsidRPr="00721DB8" w:rsidRDefault="00721DB8">
    <w:pPr>
      <w:pStyle w:val="Footer"/>
      <w:rPr>
        <w:sz w:val="20"/>
        <w:szCs w:val="20"/>
      </w:rPr>
    </w:pPr>
    <w:r w:rsidRPr="00613736">
      <w:rPr>
        <w:sz w:val="20"/>
        <w:szCs w:val="20"/>
      </w:rPr>
      <w:t>18/09/2015-14. Sj.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Default="00721D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11E" w:rsidRDefault="0044311E" w:rsidP="00721DB8">
      <w:pPr>
        <w:spacing w:after="0" w:line="240" w:lineRule="auto"/>
      </w:pPr>
      <w:r>
        <w:separator/>
      </w:r>
    </w:p>
  </w:footnote>
  <w:footnote w:type="continuationSeparator" w:id="0">
    <w:p w:rsidR="0044311E" w:rsidRDefault="0044311E" w:rsidP="0072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Default="00721D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Default="00721D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B8" w:rsidRDefault="00721D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7360CF"/>
    <w:multiLevelType w:val="hybridMultilevel"/>
    <w:tmpl w:val="4A3C3F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9BA"/>
    <w:rsid w:val="00030C22"/>
    <w:rsid w:val="00074985"/>
    <w:rsid w:val="000C4DD7"/>
    <w:rsid w:val="000F546E"/>
    <w:rsid w:val="00132466"/>
    <w:rsid w:val="001475E5"/>
    <w:rsid w:val="001E73B1"/>
    <w:rsid w:val="001F793D"/>
    <w:rsid w:val="002260F3"/>
    <w:rsid w:val="0024035C"/>
    <w:rsid w:val="002A055E"/>
    <w:rsid w:val="003505DF"/>
    <w:rsid w:val="00360CC4"/>
    <w:rsid w:val="003802C5"/>
    <w:rsid w:val="003A5B36"/>
    <w:rsid w:val="003C1704"/>
    <w:rsid w:val="00411A82"/>
    <w:rsid w:val="0044311E"/>
    <w:rsid w:val="00466BC2"/>
    <w:rsid w:val="00477A3E"/>
    <w:rsid w:val="004B6771"/>
    <w:rsid w:val="00505964"/>
    <w:rsid w:val="005243EA"/>
    <w:rsid w:val="00527371"/>
    <w:rsid w:val="005A5FA5"/>
    <w:rsid w:val="00616401"/>
    <w:rsid w:val="00637C59"/>
    <w:rsid w:val="00642FFD"/>
    <w:rsid w:val="006B03DD"/>
    <w:rsid w:val="00721DB8"/>
    <w:rsid w:val="00763530"/>
    <w:rsid w:val="00811BA0"/>
    <w:rsid w:val="008264A0"/>
    <w:rsid w:val="00834CDA"/>
    <w:rsid w:val="008D3122"/>
    <w:rsid w:val="008D6A78"/>
    <w:rsid w:val="008F790B"/>
    <w:rsid w:val="00903332"/>
    <w:rsid w:val="009135D4"/>
    <w:rsid w:val="009F42A4"/>
    <w:rsid w:val="00A000EF"/>
    <w:rsid w:val="00A741EC"/>
    <w:rsid w:val="00B45C6A"/>
    <w:rsid w:val="00B85EAB"/>
    <w:rsid w:val="00BE1534"/>
    <w:rsid w:val="00D459BA"/>
    <w:rsid w:val="00DB166F"/>
    <w:rsid w:val="00DE209B"/>
    <w:rsid w:val="00DF12CE"/>
    <w:rsid w:val="00EC7135"/>
    <w:rsid w:val="00EE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459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9BA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1D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1DB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C71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00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64A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459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9BA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1D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1DB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C71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00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64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bib.irb.hr/prikazi-rad?&amp;rad=572331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thm.uniri.hr/files/Kongresi/THI/Papers/2016/THI_April2016_39to52.pdf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819431" TargetMode="External"/><Relationship Id="rId14" Type="http://schemas.openxmlformats.org/officeDocument/2006/relationships/hyperlink" Target="https://www.tnooz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2018-06-13T13:20:00Z</dcterms:created>
  <dcterms:modified xsi:type="dcterms:W3CDTF">2018-06-13T13:20:00Z</dcterms:modified>
</cp:coreProperties>
</file>